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>SPETSIALISEERITUD UURIMISLABOR</w:t>
      </w:r>
    </w:p>
    <w:p w:rsidR="003E74EC" w:rsidRPr="000C4C8F" w:rsidRDefault="004E78B4">
      <w:pPr>
        <w:jc w:val="both"/>
        <w:rPr>
          <w:lang w:val="et-EE"/>
        </w:rPr>
      </w:pPr>
      <w:r w:rsidRPr="000C4C8F">
        <w:rPr>
          <w:lang w:val="et-EE"/>
        </w:rPr>
        <w:t xml:space="preserve">ITA-TEST </w:t>
      </w:r>
    </w:p>
    <w:p w:rsidR="003E74EC" w:rsidRPr="000C4C8F" w:rsidRDefault="004E78B4">
      <w:pPr>
        <w:pStyle w:val="Kehatekst"/>
        <w:jc w:val="left"/>
        <w:rPr>
          <w:lang w:val="et-EE"/>
        </w:rPr>
      </w:pPr>
      <w:r w:rsidRPr="000C4C8F">
        <w:rPr>
          <w:lang w:val="et-EE"/>
        </w:rPr>
        <w:t>Kosmeetika- ja kodukeemiatoodete dermatoloogiliste, kasutus- ja keemiliste uuringute asutus</w:t>
      </w:r>
    </w:p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>01-434 Varssavi, Obozowa tn 82A, paviljon 1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jc w:val="center"/>
        <w:rPr>
          <w:lang w:val="et-EE"/>
        </w:rPr>
      </w:pPr>
      <w:r w:rsidRPr="000C4C8F">
        <w:rPr>
          <w:lang w:val="et-EE"/>
        </w:rPr>
        <w:t>ARUANNET VÕIB REPRODUTSEERIDA VAID TERVIKUNA</w:t>
      </w:r>
    </w:p>
    <w:p w:rsidR="003E74EC" w:rsidRPr="000C4C8F" w:rsidRDefault="004E78B4">
      <w:pPr>
        <w:jc w:val="center"/>
        <w:rPr>
          <w:lang w:val="et-EE"/>
        </w:rPr>
      </w:pPr>
      <w:r w:rsidRPr="000C4C8F">
        <w:rPr>
          <w:lang w:val="et-EE"/>
        </w:rPr>
        <w:t>MUUL VIISIL KOPEERIMISEL ON NÕUTAV LABORI KIRJALIK NÕUSOLEK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jc w:val="right"/>
        <w:rPr>
          <w:lang w:val="et-EE"/>
        </w:rPr>
      </w:pPr>
      <w:r w:rsidRPr="000C4C8F">
        <w:rPr>
          <w:lang w:val="et-EE"/>
        </w:rPr>
        <w:t>Varssavi, 31.07.2009</w:t>
      </w:r>
    </w:p>
    <w:p w:rsidR="003E74EC" w:rsidRPr="000C4C8F" w:rsidRDefault="004E78B4">
      <w:pPr>
        <w:jc w:val="right"/>
        <w:rPr>
          <w:lang w:val="et-EE"/>
        </w:rPr>
      </w:pPr>
      <w:r w:rsidRPr="000C4C8F">
        <w:rPr>
          <w:lang w:val="et-EE"/>
        </w:rPr>
        <w:t>eksemplar 1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pStyle w:val="Pealkiri4"/>
        <w:jc w:val="center"/>
        <w:rPr>
          <w:lang w:val="et-EE"/>
        </w:rPr>
      </w:pPr>
      <w:r w:rsidRPr="000C4C8F">
        <w:rPr>
          <w:lang w:val="et-EE"/>
        </w:rPr>
        <w:t>DERMATOLOOGILISE UURINGU ARUANNE</w:t>
      </w:r>
    </w:p>
    <w:p w:rsidR="003E74EC" w:rsidRPr="000C4C8F" w:rsidRDefault="003E74EC">
      <w:pPr>
        <w:jc w:val="center"/>
        <w:rPr>
          <w:lang w:val="et-EE"/>
        </w:rPr>
      </w:pPr>
    </w:p>
    <w:p w:rsidR="003E74EC" w:rsidRPr="000C4C8F" w:rsidRDefault="004E78B4">
      <w:pPr>
        <w:jc w:val="center"/>
        <w:rPr>
          <w:lang w:val="et-EE"/>
        </w:rPr>
      </w:pPr>
      <w:r w:rsidRPr="000C4C8F">
        <w:rPr>
          <w:lang w:val="et-EE"/>
        </w:rPr>
        <w:t>POOLAVATUD KONTAKTKATSE</w:t>
      </w:r>
    </w:p>
    <w:p w:rsidR="003E74EC" w:rsidRPr="000C4C8F" w:rsidRDefault="003E74EC">
      <w:pPr>
        <w:jc w:val="center"/>
        <w:rPr>
          <w:lang w:val="et-EE"/>
        </w:rPr>
      </w:pPr>
    </w:p>
    <w:p w:rsidR="003E74EC" w:rsidRPr="000C4C8F" w:rsidRDefault="004E78B4">
      <w:pPr>
        <w:jc w:val="center"/>
        <w:rPr>
          <w:lang w:val="et-EE"/>
        </w:rPr>
      </w:pPr>
      <w:r w:rsidRPr="000C4C8F">
        <w:rPr>
          <w:lang w:val="et-EE"/>
        </w:rPr>
        <w:t>Nr B – 20237/4434/09</w:t>
      </w:r>
    </w:p>
    <w:p w:rsidR="003E74EC" w:rsidRPr="000C4C8F" w:rsidRDefault="003E74EC">
      <w:pPr>
        <w:jc w:val="center"/>
        <w:rPr>
          <w:lang w:val="et-EE"/>
        </w:rPr>
      </w:pPr>
    </w:p>
    <w:p w:rsidR="003E74EC" w:rsidRPr="000C4C8F" w:rsidRDefault="004E78B4">
      <w:pPr>
        <w:jc w:val="center"/>
        <w:rPr>
          <w:lang w:val="et-EE"/>
        </w:rPr>
      </w:pPr>
      <w:r w:rsidRPr="000C4C8F">
        <w:rPr>
          <w:lang w:val="et-EE"/>
        </w:rPr>
        <w:t>KOLLOIDHÕBE</w:t>
      </w:r>
    </w:p>
    <w:p w:rsidR="003E74EC" w:rsidRPr="000C4C8F" w:rsidRDefault="003E74EC">
      <w:pPr>
        <w:jc w:val="center"/>
        <w:rPr>
          <w:lang w:val="et-EE"/>
        </w:rPr>
      </w:pPr>
    </w:p>
    <w:p w:rsidR="003E74EC" w:rsidRPr="000C4C8F" w:rsidRDefault="003E74EC">
      <w:pPr>
        <w:jc w:val="center"/>
        <w:rPr>
          <w:lang w:val="et-EE"/>
        </w:rPr>
      </w:pPr>
    </w:p>
    <w:p w:rsidR="003E74EC" w:rsidRPr="000C4C8F" w:rsidRDefault="003E74EC">
      <w:pPr>
        <w:jc w:val="center"/>
        <w:rPr>
          <w:lang w:val="et-EE"/>
        </w:rPr>
      </w:pPr>
    </w:p>
    <w:p w:rsidR="003E74EC" w:rsidRPr="000C4C8F" w:rsidRDefault="004E78B4">
      <w:pPr>
        <w:jc w:val="center"/>
        <w:rPr>
          <w:lang w:val="et-EE"/>
        </w:rPr>
      </w:pPr>
      <w:r w:rsidRPr="000C4C8F">
        <w:rPr>
          <w:lang w:val="et-EE"/>
        </w:rPr>
        <w:t>tellija</w:t>
      </w:r>
    </w:p>
    <w:p w:rsidR="003E74EC" w:rsidRPr="000C4C8F" w:rsidRDefault="003E74EC">
      <w:pPr>
        <w:jc w:val="center"/>
        <w:rPr>
          <w:lang w:val="et-EE"/>
        </w:rPr>
      </w:pPr>
    </w:p>
    <w:p w:rsidR="003E74EC" w:rsidRPr="000C4C8F" w:rsidRDefault="004E78B4">
      <w:pPr>
        <w:jc w:val="center"/>
        <w:rPr>
          <w:lang w:val="et-EE"/>
        </w:rPr>
      </w:pPr>
      <w:r w:rsidRPr="000C4C8F">
        <w:rPr>
          <w:lang w:val="et-EE"/>
        </w:rPr>
        <w:t>AlterMedica</w:t>
      </w:r>
    </w:p>
    <w:p w:rsidR="003E74EC" w:rsidRPr="000C4C8F" w:rsidRDefault="004E78B4">
      <w:pPr>
        <w:jc w:val="center"/>
        <w:rPr>
          <w:lang w:val="et-EE"/>
        </w:rPr>
      </w:pPr>
      <w:r w:rsidRPr="000C4C8F">
        <w:rPr>
          <w:lang w:val="et-EE"/>
        </w:rPr>
        <w:t>Spokojna tn 11</w:t>
      </w:r>
    </w:p>
    <w:p w:rsidR="003E74EC" w:rsidRPr="000C4C8F" w:rsidRDefault="004E78B4">
      <w:pPr>
        <w:jc w:val="center"/>
        <w:rPr>
          <w:lang w:val="et-EE"/>
        </w:rPr>
      </w:pPr>
      <w:r w:rsidRPr="000C4C8F">
        <w:rPr>
          <w:lang w:val="et-EE"/>
        </w:rPr>
        <w:t>34-300 Żywiec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  <w:bookmarkStart w:id="0" w:name="_GoBack"/>
      <w:bookmarkEnd w:id="0"/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 xml:space="preserve">ISO 9001:2000 sertifikaat </w:t>
      </w:r>
      <w:r w:rsidR="00EF6D2B" w:rsidRPr="000C4C8F">
        <w:rPr>
          <w:lang w:val="et-EE"/>
        </w:rPr>
        <w:t>n</w:t>
      </w:r>
      <w:r w:rsidRPr="000C4C8F">
        <w:rPr>
          <w:lang w:val="et-EE"/>
        </w:rPr>
        <w:t>r 80606602</w:t>
      </w:r>
    </w:p>
    <w:p w:rsidR="003E74EC" w:rsidRPr="000C4C8F" w:rsidRDefault="00EF6D2B">
      <w:pPr>
        <w:rPr>
          <w:lang w:val="et-EE"/>
        </w:rPr>
      </w:pPr>
      <w:r w:rsidRPr="000C4C8F">
        <w:rPr>
          <w:lang w:val="et-EE"/>
        </w:rPr>
        <w:t>U</w:t>
      </w:r>
      <w:r w:rsidR="004E78B4" w:rsidRPr="000C4C8F">
        <w:rPr>
          <w:lang w:val="et-EE"/>
        </w:rPr>
        <w:t>latus: uuringud kosmeetika- ja kodukeemiatoodete ohutusest inimeste tervisele, kasutusomaduste ja normidele vastavuse uuringud. Mikrobioloogilised uuringud, tehniliste kirjelduste koostamine ja veeuuringud.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>Dermatoloogilise uuringu aruanne nr B-20237/4434/09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rPr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8"/>
        <w:gridCol w:w="1800"/>
        <w:gridCol w:w="6254"/>
      </w:tblGrid>
      <w:tr w:rsidR="003E74EC" w:rsidRPr="00EF6D2B">
        <w:tc>
          <w:tcPr>
            <w:tcW w:w="468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 xml:space="preserve">1. </w:t>
            </w:r>
          </w:p>
        </w:tc>
        <w:tc>
          <w:tcPr>
            <w:tcW w:w="1800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Uuringu te</w:t>
            </w:r>
            <w:r w:rsidR="00EF6D2B">
              <w:rPr>
                <w:lang w:val="et-EE"/>
              </w:rPr>
              <w:t>ge</w:t>
            </w:r>
            <w:r w:rsidRPr="000C4C8F">
              <w:rPr>
                <w:lang w:val="et-EE"/>
              </w:rPr>
              <w:t>mise alus</w:t>
            </w:r>
          </w:p>
        </w:tc>
        <w:tc>
          <w:tcPr>
            <w:tcW w:w="6254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Tellimuse esitamise kuupäev 23. 07.09,  registrinumber B-20237/4434/09, uuritava toote laboratoorsed näidised.</w:t>
            </w:r>
          </w:p>
          <w:p w:rsidR="003E74EC" w:rsidRPr="000C4C8F" w:rsidRDefault="003E74EC">
            <w:pPr>
              <w:rPr>
                <w:lang w:val="et-EE"/>
              </w:rPr>
            </w:pP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Toote kvalitatiivne koostis on esitatud tootja poolt INCI nomenklatuuri kohaselt /Lisa 1/</w:t>
            </w:r>
            <w:r w:rsidR="00EF6D2B">
              <w:rPr>
                <w:lang w:val="et-EE"/>
              </w:rPr>
              <w:t>.</w:t>
            </w:r>
          </w:p>
          <w:p w:rsidR="003E74EC" w:rsidRPr="000C4C8F" w:rsidRDefault="003E74EC">
            <w:pPr>
              <w:pStyle w:val="Kehatekst"/>
              <w:jc w:val="left"/>
              <w:rPr>
                <w:lang w:val="et-EE"/>
              </w:rPr>
            </w:pPr>
          </w:p>
          <w:p w:rsidR="003E74EC" w:rsidRPr="000C4C8F" w:rsidRDefault="004E78B4">
            <w:pPr>
              <w:pStyle w:val="Kehatekst"/>
              <w:rPr>
                <w:lang w:val="et-EE"/>
              </w:rPr>
            </w:pPr>
            <w:r w:rsidRPr="000C4C8F">
              <w:rPr>
                <w:lang w:val="et-EE"/>
              </w:rPr>
              <w:t>Katsetamiseks toodud näidiste kvalitatiivse koostise vastavuse eest vastutab Tellija</w:t>
            </w:r>
            <w:r w:rsidR="00EF6D2B">
              <w:rPr>
                <w:lang w:val="et-EE"/>
              </w:rPr>
              <w:t>.</w:t>
            </w:r>
          </w:p>
        </w:tc>
      </w:tr>
      <w:tr w:rsidR="003E74EC" w:rsidRPr="00EF6D2B">
        <w:tc>
          <w:tcPr>
            <w:tcW w:w="468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 xml:space="preserve">2. </w:t>
            </w:r>
          </w:p>
        </w:tc>
        <w:tc>
          <w:tcPr>
            <w:tcW w:w="1800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Toote iseloomustus</w:t>
            </w:r>
          </w:p>
        </w:tc>
        <w:tc>
          <w:tcPr>
            <w:tcW w:w="6254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Näidis laboratoorseks uuringuks</w:t>
            </w: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Välimus: värvitu, lõhnatu vedelik.</w:t>
            </w: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Ümber pakendatud: tume klaaspudel, etiketil uuringu number.</w:t>
            </w:r>
          </w:p>
          <w:p w:rsidR="003E74EC" w:rsidRPr="000C4C8F" w:rsidRDefault="003E74EC">
            <w:pPr>
              <w:rPr>
                <w:lang w:val="et-EE"/>
              </w:rPr>
            </w:pPr>
          </w:p>
        </w:tc>
      </w:tr>
      <w:tr w:rsidR="003E74EC" w:rsidRPr="00EF6D2B">
        <w:tc>
          <w:tcPr>
            <w:tcW w:w="468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 xml:space="preserve">3. </w:t>
            </w:r>
          </w:p>
        </w:tc>
        <w:tc>
          <w:tcPr>
            <w:tcW w:w="1800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Toote otstarve</w:t>
            </w:r>
          </w:p>
        </w:tc>
        <w:tc>
          <w:tcPr>
            <w:tcW w:w="6254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Toodet kasutatakse näonaha hooldamiseks.</w:t>
            </w:r>
          </w:p>
        </w:tc>
      </w:tr>
      <w:tr w:rsidR="003E74EC" w:rsidRPr="00EF6D2B">
        <w:tc>
          <w:tcPr>
            <w:tcW w:w="468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4.</w:t>
            </w:r>
          </w:p>
        </w:tc>
        <w:tc>
          <w:tcPr>
            <w:tcW w:w="1800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Uuringu ulatus</w:t>
            </w:r>
          </w:p>
        </w:tc>
        <w:tc>
          <w:tcPr>
            <w:tcW w:w="6254" w:type="dxa"/>
          </w:tcPr>
          <w:p w:rsidR="003E74EC" w:rsidRPr="000C4C8F" w:rsidRDefault="004E78B4">
            <w:pPr>
              <w:pStyle w:val="Kehatekst"/>
              <w:rPr>
                <w:lang w:val="et-EE"/>
              </w:rPr>
            </w:pPr>
            <w:r w:rsidRPr="000C4C8F">
              <w:rPr>
                <w:lang w:val="et-EE"/>
              </w:rPr>
              <w:t>2001.</w:t>
            </w:r>
            <w:r w:rsidR="00EF6D2B">
              <w:rPr>
                <w:lang w:val="et-EE"/>
              </w:rPr>
              <w:t xml:space="preserve"> </w:t>
            </w:r>
            <w:r w:rsidRPr="000C4C8F">
              <w:rPr>
                <w:lang w:val="et-EE"/>
              </w:rPr>
              <w:t xml:space="preserve">aasta </w:t>
            </w:r>
            <w:r w:rsidR="00EF6D2B" w:rsidRPr="00EF6D2B">
              <w:rPr>
                <w:lang w:val="et-EE"/>
              </w:rPr>
              <w:t xml:space="preserve">30. märtsi </w:t>
            </w:r>
            <w:r w:rsidRPr="000C4C8F">
              <w:rPr>
                <w:lang w:val="et-EE"/>
              </w:rPr>
              <w:t>kosmeetikatoodete seaduse (Poola ametlik väljaanne nr 42 (473) artikli 11 lõike 1 punkti 4 kohaselt</w:t>
            </w: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♦ p.4. kosmeetikatoote ohutuse hindamine inimeste tervisele sisaldab naha taluvuskatseid uuritava tooniku suhtes selle kasutamise piirkonnas,</w:t>
            </w: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♦ Kosmeetikadirektiiv 76/768/EMÜ (parandustega).</w:t>
            </w:r>
          </w:p>
        </w:tc>
      </w:tr>
      <w:tr w:rsidR="003E74EC" w:rsidRPr="00EF6D2B">
        <w:tc>
          <w:tcPr>
            <w:tcW w:w="468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5.</w:t>
            </w:r>
          </w:p>
        </w:tc>
        <w:tc>
          <w:tcPr>
            <w:tcW w:w="1800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Katsemeetod</w:t>
            </w:r>
          </w:p>
        </w:tc>
        <w:tc>
          <w:tcPr>
            <w:tcW w:w="6254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Uuring viidi läbi vastavalt uuringu läbiviimise protseduurile 07/DA arst-dermatoloogi poolt 20 vabatahtliku katsealusega grupis poolavatud kontaktkatsega.</w:t>
            </w:r>
          </w:p>
        </w:tc>
      </w:tr>
      <w:tr w:rsidR="003E74EC" w:rsidRPr="00EF6D2B">
        <w:tc>
          <w:tcPr>
            <w:tcW w:w="468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6.</w:t>
            </w:r>
          </w:p>
        </w:tc>
        <w:tc>
          <w:tcPr>
            <w:tcW w:w="1800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Vabatahtlike katsealuste valik</w:t>
            </w:r>
          </w:p>
        </w:tc>
        <w:tc>
          <w:tcPr>
            <w:tcW w:w="6254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Uuringuteks vabatahtlike katsealuste valimine viidi läbi vastavalt uuringu läbiviimise protseduurile PB 02/DA</w:t>
            </w: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arst-dermatoloogi poolt vastavuses 1964.</w:t>
            </w:r>
            <w:r w:rsidR="00EF6D2B">
              <w:rPr>
                <w:lang w:val="et-EE"/>
              </w:rPr>
              <w:t xml:space="preserve"> </w:t>
            </w:r>
            <w:r w:rsidR="00EF6D2B" w:rsidRPr="00EF6D2B">
              <w:rPr>
                <w:lang w:val="et-EE"/>
              </w:rPr>
              <w:t>A</w:t>
            </w:r>
            <w:r w:rsidR="00EF6D2B">
              <w:rPr>
                <w:lang w:val="et-EE"/>
              </w:rPr>
              <w:t xml:space="preserve"> </w:t>
            </w:r>
            <w:r w:rsidRPr="000C4C8F">
              <w:rPr>
                <w:lang w:val="et-EE"/>
              </w:rPr>
              <w:t>Helsingi Deklaratsiooniga (hilisemate täiendustega), Poola ja EÜ eeskirjadega, COLIPA suunistega toimeainete kasutamise kriteeriumi</w:t>
            </w:r>
            <w:r w:rsidR="00EF6D2B">
              <w:rPr>
                <w:lang w:val="et-EE"/>
              </w:rPr>
              <w:t>d</w:t>
            </w:r>
            <w:r w:rsidRPr="000C4C8F">
              <w:rPr>
                <w:lang w:val="et-EE"/>
              </w:rPr>
              <w:t>e kohta.</w:t>
            </w:r>
          </w:p>
          <w:p w:rsidR="003E74EC" w:rsidRPr="000C4C8F" w:rsidRDefault="003E74EC">
            <w:pPr>
              <w:rPr>
                <w:lang w:val="et-EE"/>
              </w:rPr>
            </w:pP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Uuringuks valiti  välja 20 isikut (20 naist) kellel oli teadaolevalt esinenud allergiat.</w:t>
            </w:r>
          </w:p>
          <w:p w:rsidR="003E74EC" w:rsidRPr="000C4C8F" w:rsidRDefault="003E74EC">
            <w:pPr>
              <w:rPr>
                <w:lang w:val="et-EE"/>
              </w:rPr>
            </w:pP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Selles grupis:</w:t>
            </w: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* ühelgi isikul ei tõendatud tundlikkust, ka intervjuudes ei teatatud soovimatutest reaktsioonidest uuritava toote koostisosade suhtes.</w:t>
            </w: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 xml:space="preserve">* Kõik isikud teatasid intervjuudes, et neil on esinenud erinevaid soovimatuid nahareaktsioone mõningate kasutatud kosmeetikatoodete ja pesemisvahendite </w:t>
            </w:r>
            <w:r w:rsidR="00EF6D2B">
              <w:rPr>
                <w:lang w:val="et-EE"/>
              </w:rPr>
              <w:t>puhul</w:t>
            </w:r>
            <w:r w:rsidRPr="000C4C8F">
              <w:rPr>
                <w:lang w:val="et-EE"/>
              </w:rPr>
              <w:t xml:space="preserve">. </w:t>
            </w:r>
          </w:p>
          <w:p w:rsidR="003E74EC" w:rsidRPr="000C4C8F" w:rsidRDefault="003E74EC">
            <w:pPr>
              <w:rPr>
                <w:lang w:val="et-EE"/>
              </w:rPr>
            </w:pP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Tootenäidise pealekandmise kohas (õlavarrel ja õlal) oli nahk normaalne, ilma ühegi patoloogilise muutuseta.</w:t>
            </w: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lastRenderedPageBreak/>
              <w:t xml:space="preserve">Uuringus osalejatele ei esitatud erilisi nõudmisi, lähtuti eeldusest, et seda tüüpi toote toimivust tuleb testida loomulikes tingimustes, nii nagu </w:t>
            </w:r>
            <w:r w:rsidR="00EF6D2B">
              <w:rPr>
                <w:lang w:val="et-EE"/>
              </w:rPr>
              <w:t>s</w:t>
            </w:r>
            <w:r w:rsidRPr="000C4C8F">
              <w:rPr>
                <w:lang w:val="et-EE"/>
              </w:rPr>
              <w:t>eda tegelikult kasutama hakatakse. Tuleb lisada, et uuringu tulemusi võivad mõjutada ka sellised tegurid, nagu toitumisharjumused, isiklikud eelistused, eluviisid, tehtava töö liik, stress ning ümbritseva keskkonna tingimused jms.</w:t>
            </w:r>
          </w:p>
        </w:tc>
      </w:tr>
      <w:tr w:rsidR="003E74EC" w:rsidRPr="00EF6D2B">
        <w:tc>
          <w:tcPr>
            <w:tcW w:w="468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lastRenderedPageBreak/>
              <w:t>7.</w:t>
            </w:r>
          </w:p>
        </w:tc>
        <w:tc>
          <w:tcPr>
            <w:tcW w:w="1800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Uuringu läbiviimise viis</w:t>
            </w:r>
          </w:p>
        </w:tc>
        <w:tc>
          <w:tcPr>
            <w:tcW w:w="6254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Vastavalt uuringu läbiviimise protseduurile 07/DA.</w:t>
            </w:r>
          </w:p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Uuritav toode kanti pakendist paberkettale (Whatmann 3), mis kinnitati poorse hüpoallergeenilise (kirurgilise) plaastriga õlavarrele ja õlale. Plaaster eemaldati 48</w:t>
            </w:r>
            <w:r w:rsidR="00EF6D2B">
              <w:rPr>
                <w:lang w:val="et-EE"/>
              </w:rPr>
              <w:t xml:space="preserve"> tunni</w:t>
            </w:r>
            <w:r w:rsidRPr="000C4C8F">
              <w:rPr>
                <w:lang w:val="et-EE"/>
              </w:rPr>
              <w:t xml:space="preserve"> pärast. Esimene vaatlus tehti kohe pärast plaastri eemaldamist, järg</w:t>
            </w:r>
            <w:r w:rsidR="00EF6D2B">
              <w:rPr>
                <w:lang w:val="et-EE"/>
              </w:rPr>
              <w:t>mine</w:t>
            </w:r>
            <w:r w:rsidRPr="000C4C8F">
              <w:rPr>
                <w:lang w:val="et-EE"/>
              </w:rPr>
              <w:t xml:space="preserve"> 72</w:t>
            </w:r>
            <w:r w:rsidR="00EF6D2B">
              <w:rPr>
                <w:lang w:val="et-EE"/>
              </w:rPr>
              <w:t xml:space="preserve"> tundi</w:t>
            </w:r>
            <w:r w:rsidRPr="000C4C8F">
              <w:rPr>
                <w:lang w:val="et-EE"/>
              </w:rPr>
              <w:t xml:space="preserve"> pärast selle nahale kinnitamist. Reaktsiooni hinnati vastavalt dermatoloogilistes uuringutes üldkasutatavale skaalale.</w:t>
            </w:r>
          </w:p>
          <w:p w:rsidR="003E74EC" w:rsidRPr="000C4C8F" w:rsidRDefault="003E74EC">
            <w:pPr>
              <w:rPr>
                <w:lang w:val="et-EE"/>
              </w:rPr>
            </w:pPr>
          </w:p>
        </w:tc>
      </w:tr>
      <w:tr w:rsidR="003E74EC" w:rsidRPr="00EF6D2B">
        <w:tc>
          <w:tcPr>
            <w:tcW w:w="468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8.</w:t>
            </w:r>
          </w:p>
        </w:tc>
        <w:tc>
          <w:tcPr>
            <w:tcW w:w="1800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Uuringu läbiviimise aeg</w:t>
            </w:r>
          </w:p>
        </w:tc>
        <w:tc>
          <w:tcPr>
            <w:tcW w:w="6254" w:type="dxa"/>
          </w:tcPr>
          <w:p w:rsidR="003E74EC" w:rsidRPr="000C4C8F" w:rsidRDefault="004E78B4">
            <w:pPr>
              <w:rPr>
                <w:lang w:val="et-EE"/>
              </w:rPr>
            </w:pPr>
            <w:r w:rsidRPr="000C4C8F">
              <w:rPr>
                <w:lang w:val="et-EE"/>
              </w:rPr>
              <w:t>Uuring kestis 27.07.2009 kuni 30.07.2009.</w:t>
            </w:r>
          </w:p>
        </w:tc>
      </w:tr>
    </w:tbl>
    <w:p w:rsidR="003E74EC" w:rsidRPr="000C4C8F" w:rsidRDefault="003E74EC">
      <w:pPr>
        <w:rPr>
          <w:lang w:val="et-EE"/>
        </w:rPr>
      </w:pPr>
    </w:p>
    <w:p w:rsidR="003E74EC" w:rsidRPr="000C4C8F" w:rsidRDefault="003E74EC">
      <w:pPr>
        <w:pStyle w:val="Pealkiri3"/>
        <w:rPr>
          <w:lang w:val="et-EE"/>
        </w:rPr>
      </w:pPr>
    </w:p>
    <w:p w:rsidR="003E74EC" w:rsidRPr="000C4C8F" w:rsidRDefault="003E74EC">
      <w:pPr>
        <w:pStyle w:val="Pealkiri3"/>
        <w:jc w:val="left"/>
        <w:rPr>
          <w:lang w:val="et-EE"/>
        </w:rPr>
      </w:pPr>
    </w:p>
    <w:p w:rsidR="003E74EC" w:rsidRPr="000C4C8F" w:rsidRDefault="003E74EC">
      <w:pPr>
        <w:pStyle w:val="Pealkiri3"/>
        <w:rPr>
          <w:lang w:val="et-EE"/>
        </w:rPr>
      </w:pPr>
    </w:p>
    <w:p w:rsidR="003E74EC" w:rsidRPr="000C4C8F" w:rsidRDefault="004E78B4">
      <w:pPr>
        <w:pStyle w:val="Pealkiri3"/>
        <w:rPr>
          <w:lang w:val="et-EE"/>
        </w:rPr>
      </w:pPr>
      <w:r w:rsidRPr="000C4C8F">
        <w:rPr>
          <w:lang w:val="et-EE"/>
        </w:rPr>
        <w:t>DERMATOLOOGILISE UURINGU TULEMUSED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>20 katsealusest koosnevas grupis, kellest 20 oli teadaolevalt esinenud allergiat, ei leitud positiivset reaktsiooni, mis tähendab seda, et preparaadil ei ole ärritavat ega sensibiliseerivat toimet.</w:t>
      </w:r>
    </w:p>
    <w:p w:rsidR="003E74EC" w:rsidRPr="000C4C8F" w:rsidRDefault="003E74EC">
      <w:pPr>
        <w:jc w:val="center"/>
        <w:rPr>
          <w:lang w:val="et-EE"/>
        </w:rPr>
      </w:pPr>
    </w:p>
    <w:p w:rsidR="003E74EC" w:rsidRPr="000C4C8F" w:rsidRDefault="004E78B4">
      <w:pPr>
        <w:jc w:val="center"/>
        <w:rPr>
          <w:lang w:val="et-EE"/>
        </w:rPr>
      </w:pPr>
      <w:r w:rsidRPr="000C4C8F">
        <w:rPr>
          <w:lang w:val="et-EE"/>
        </w:rPr>
        <w:t>ARVAMUSED JA TÕLGENDUSED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>Läbiviidud poolavatud kontaktkatsete põhjal kinnitame, et dermatoloogiliselt uuritud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 xml:space="preserve"> KOLLOIDHÕBE ARGENTUM 500 ml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>täitis kosmeetikatootele esitatavad nõuded ohutuse kohta  inimeste tervisele.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>(2001.</w:t>
      </w:r>
      <w:r w:rsidR="00EF6D2B">
        <w:rPr>
          <w:lang w:val="et-EE"/>
        </w:rPr>
        <w:t xml:space="preserve"> </w:t>
      </w:r>
      <w:r w:rsidRPr="000C4C8F">
        <w:rPr>
          <w:lang w:val="et-EE"/>
        </w:rPr>
        <w:t xml:space="preserve">aasta </w:t>
      </w:r>
      <w:r w:rsidR="00EF6D2B" w:rsidRPr="00EF6D2B">
        <w:rPr>
          <w:lang w:val="et-EE"/>
        </w:rPr>
        <w:t xml:space="preserve">30. märtsi </w:t>
      </w:r>
      <w:r w:rsidRPr="000C4C8F">
        <w:rPr>
          <w:lang w:val="et-EE"/>
        </w:rPr>
        <w:t>kosmeetikatoodete seaduse artikli 11 lõike 1 punkt 4 ulatuses)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 xml:space="preserve">MÄRKUS: </w:t>
      </w:r>
      <w:r w:rsidR="00EF6D2B">
        <w:rPr>
          <w:lang w:val="et-EE"/>
        </w:rPr>
        <w:t>o</w:t>
      </w:r>
      <w:r w:rsidRPr="000C4C8F">
        <w:rPr>
          <w:lang w:val="et-EE"/>
        </w:rPr>
        <w:t>hutushinnang ei kehti isikute puhul, kellel on allergia mõne uuritava toote koostisaine suhtes.</w:t>
      </w:r>
    </w:p>
    <w:p w:rsidR="003E74EC" w:rsidRPr="000C4C8F" w:rsidRDefault="003E74EC">
      <w:pPr>
        <w:rPr>
          <w:lang w:val="et-EE"/>
        </w:rPr>
      </w:pPr>
    </w:p>
    <w:p w:rsidR="003E74EC" w:rsidRPr="000C4C8F" w:rsidRDefault="004E78B4">
      <w:pPr>
        <w:jc w:val="right"/>
        <w:rPr>
          <w:lang w:val="et-EE"/>
        </w:rPr>
      </w:pPr>
      <w:r w:rsidRPr="000C4C8F">
        <w:rPr>
          <w:lang w:val="et-EE"/>
        </w:rPr>
        <w:t xml:space="preserve">Hinnangu eest vastutaja </w:t>
      </w:r>
    </w:p>
    <w:p w:rsidR="003E74EC" w:rsidRPr="000C4C8F" w:rsidRDefault="004E78B4">
      <w:pPr>
        <w:jc w:val="right"/>
        <w:rPr>
          <w:lang w:val="et-EE"/>
        </w:rPr>
      </w:pPr>
      <w:r w:rsidRPr="000C4C8F">
        <w:rPr>
          <w:lang w:val="et-EE"/>
        </w:rPr>
        <w:t>nimi ja aadress</w:t>
      </w:r>
    </w:p>
    <w:p w:rsidR="003E74EC" w:rsidRPr="000C4C8F" w:rsidRDefault="003E74EC">
      <w:pPr>
        <w:jc w:val="right"/>
        <w:rPr>
          <w:lang w:val="et-EE"/>
        </w:rPr>
      </w:pPr>
    </w:p>
    <w:p w:rsidR="003E74EC" w:rsidRPr="000C4C8F" w:rsidRDefault="004E78B4">
      <w:pPr>
        <w:jc w:val="right"/>
        <w:rPr>
          <w:lang w:val="et-EE"/>
        </w:rPr>
      </w:pPr>
      <w:r w:rsidRPr="000C4C8F">
        <w:rPr>
          <w:lang w:val="et-EE"/>
        </w:rPr>
        <w:t xml:space="preserve">dr </w:t>
      </w:r>
      <w:proofErr w:type="spellStart"/>
      <w:r w:rsidRPr="000C4C8F">
        <w:rPr>
          <w:lang w:val="et-EE"/>
        </w:rPr>
        <w:t>Paweł</w:t>
      </w:r>
      <w:proofErr w:type="spellEnd"/>
      <w:r w:rsidRPr="000C4C8F">
        <w:rPr>
          <w:lang w:val="et-EE"/>
        </w:rPr>
        <w:t xml:space="preserve"> </w:t>
      </w:r>
      <w:proofErr w:type="spellStart"/>
      <w:r w:rsidRPr="000C4C8F">
        <w:rPr>
          <w:lang w:val="et-EE"/>
        </w:rPr>
        <w:t>Rebandel</w:t>
      </w:r>
      <w:proofErr w:type="spellEnd"/>
    </w:p>
    <w:p w:rsidR="003E74EC" w:rsidRPr="000C4C8F" w:rsidRDefault="004E78B4">
      <w:pPr>
        <w:jc w:val="right"/>
        <w:rPr>
          <w:lang w:val="et-EE"/>
        </w:rPr>
      </w:pPr>
      <w:r w:rsidRPr="000C4C8F">
        <w:rPr>
          <w:lang w:val="et-EE"/>
        </w:rPr>
        <w:t>eriarst-allergoloog,</w:t>
      </w:r>
    </w:p>
    <w:p w:rsidR="003E74EC" w:rsidRPr="000C4C8F" w:rsidRDefault="004E78B4">
      <w:pPr>
        <w:jc w:val="right"/>
        <w:rPr>
          <w:lang w:val="et-EE"/>
        </w:rPr>
      </w:pPr>
      <w:r w:rsidRPr="000C4C8F">
        <w:rPr>
          <w:lang w:val="et-EE"/>
        </w:rPr>
        <w:t>dermatoloog ja veneroloog</w:t>
      </w:r>
    </w:p>
    <w:p w:rsidR="003E74EC" w:rsidRPr="000C4C8F" w:rsidRDefault="004E78B4">
      <w:pPr>
        <w:pStyle w:val="Kehatekst2"/>
        <w:jc w:val="right"/>
        <w:rPr>
          <w:lang w:val="et-EE"/>
        </w:rPr>
      </w:pPr>
      <w:r w:rsidRPr="000C4C8F">
        <w:rPr>
          <w:lang w:val="et-EE"/>
        </w:rPr>
        <w:t>(allkiri)</w:t>
      </w:r>
    </w:p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>Saajad:</w:t>
      </w:r>
    </w:p>
    <w:p w:rsidR="003E74EC" w:rsidRPr="000C4C8F" w:rsidRDefault="004E78B4">
      <w:pPr>
        <w:rPr>
          <w:lang w:val="et-EE"/>
        </w:rPr>
      </w:pPr>
      <w:r w:rsidRPr="000C4C8F">
        <w:rPr>
          <w:lang w:val="et-EE"/>
        </w:rPr>
        <w:t>Eksemplarid 1 ja 2: tellija</w:t>
      </w:r>
    </w:p>
    <w:p w:rsidR="004E78B4" w:rsidRPr="000C4C8F" w:rsidRDefault="004E78B4">
      <w:pPr>
        <w:rPr>
          <w:lang w:val="et-EE"/>
        </w:rPr>
      </w:pPr>
      <w:r w:rsidRPr="000C4C8F">
        <w:rPr>
          <w:lang w:val="et-EE"/>
        </w:rPr>
        <w:lastRenderedPageBreak/>
        <w:t>Eksemplar 3: ITA-TEST, toimik Nr B-20237/4434/09</w:t>
      </w:r>
    </w:p>
    <w:sectPr w:rsidR="004E78B4" w:rsidRPr="000C4C8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675CBE"/>
    <w:multiLevelType w:val="hybridMultilevel"/>
    <w:tmpl w:val="7A1E5D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61210B"/>
    <w:multiLevelType w:val="hybridMultilevel"/>
    <w:tmpl w:val="9BA826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0F68E6"/>
    <w:multiLevelType w:val="hybridMultilevel"/>
    <w:tmpl w:val="40CAE45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1357A"/>
    <w:multiLevelType w:val="hybridMultilevel"/>
    <w:tmpl w:val="33220CC2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103B23"/>
    <w:multiLevelType w:val="hybridMultilevel"/>
    <w:tmpl w:val="D9BA2D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4348E0"/>
    <w:multiLevelType w:val="hybridMultilevel"/>
    <w:tmpl w:val="94701C4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220248"/>
    <w:multiLevelType w:val="hybridMultilevel"/>
    <w:tmpl w:val="A4C0DDCC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E349D"/>
    <w:multiLevelType w:val="hybridMultilevel"/>
    <w:tmpl w:val="5510DD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2"/>
  </w:compat>
  <w:rsids>
    <w:rsidRoot w:val="00CA7DCD"/>
    <w:rsid w:val="000C4C8F"/>
    <w:rsid w:val="003E74EC"/>
    <w:rsid w:val="004E78B4"/>
    <w:rsid w:val="006F7B61"/>
    <w:rsid w:val="007706FA"/>
    <w:rsid w:val="00AF54FE"/>
    <w:rsid w:val="00CA7DCD"/>
    <w:rsid w:val="00EF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F31EAC3-DFA2-490E-9B83-CCD2D9524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b/>
      <w:bCs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i/>
      <w:iCs/>
    </w:rPr>
  </w:style>
  <w:style w:type="paragraph" w:styleId="Pealkiri3">
    <w:name w:val="heading 3"/>
    <w:basedOn w:val="Normaallaad"/>
    <w:next w:val="Normaallaad"/>
    <w:qFormat/>
    <w:pPr>
      <w:keepNext/>
      <w:jc w:val="center"/>
      <w:outlineLvl w:val="2"/>
    </w:pPr>
    <w:rPr>
      <w:u w:val="single"/>
    </w:rPr>
  </w:style>
  <w:style w:type="paragraph" w:styleId="Pealkiri4">
    <w:name w:val="heading 4"/>
    <w:basedOn w:val="Normaallaad"/>
    <w:next w:val="Normaallaad"/>
    <w:qFormat/>
    <w:pPr>
      <w:keepNext/>
      <w:outlineLvl w:val="3"/>
    </w:pPr>
    <w:rPr>
      <w:u w:val="singl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semiHidden/>
    <w:pPr>
      <w:jc w:val="center"/>
    </w:pPr>
  </w:style>
  <w:style w:type="paragraph" w:styleId="Kehatekst2">
    <w:name w:val="Body Text 2"/>
    <w:basedOn w:val="Normaallaad"/>
    <w:semiHidden/>
    <w:rPr>
      <w:i/>
      <w:iCs/>
    </w:rPr>
  </w:style>
  <w:style w:type="paragraph" w:styleId="Kehatekst3">
    <w:name w:val="Body Text 3"/>
    <w:basedOn w:val="Normaallaad"/>
    <w:semiHidden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F6D2B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F6D2B"/>
    <w:rPr>
      <w:rFonts w:ascii="Tahoma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517</Words>
  <Characters>3904</Characters>
  <Application>Microsoft Office Word</Application>
  <DocSecurity>0</DocSecurity>
  <Lines>177</Lines>
  <Paragraphs>85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SPETSIALISEERITUD UURIMISLABOR</vt:lpstr>
      <vt:lpstr>SPETSIALISEERITUD UURIMISLABOR </vt:lpstr>
    </vt:vector>
  </TitlesOfParts>
  <Company/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SPETSIALISEERITUD UURIMISLABOR</dc:title>
  <dc:creator>KA</dc:creator>
  <cp:lastModifiedBy>Viljar Puusepp</cp:lastModifiedBy>
  <cp:revision>2</cp:revision>
  <dcterms:created xsi:type="dcterms:W3CDTF">2015-11-25T13:34:00Z</dcterms:created>
  <dcterms:modified xsi:type="dcterms:W3CDTF">2015-11-25T13:34:00Z</dcterms:modified>
</cp:coreProperties>
</file>